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A5D" w:rsidRDefault="00CA2CD3">
      <w:pPr>
        <w:rPr>
          <w:b/>
        </w:rPr>
      </w:pPr>
      <w:proofErr w:type="spellStart"/>
      <w:r>
        <w:rPr>
          <w:b/>
        </w:rPr>
        <w:t>Syngas</w:t>
      </w:r>
      <w:proofErr w:type="spellEnd"/>
      <w:r>
        <w:rPr>
          <w:b/>
        </w:rPr>
        <w:t xml:space="preserve"> Clean Up</w:t>
      </w:r>
    </w:p>
    <w:p w:rsidR="006B4587" w:rsidRDefault="006B4587">
      <w:r>
        <w:rPr>
          <w:b/>
        </w:rPr>
        <w:tab/>
      </w:r>
      <w:r>
        <w:t>In most cases the gas must be cooled to atmospheric, with the exception of the desulfurization which may have ways of being performed at higher temperatures. The four main processes involved in gas clean up are:</w:t>
      </w:r>
    </w:p>
    <w:p w:rsidR="006B4587" w:rsidRPr="006B4587" w:rsidRDefault="006B4587" w:rsidP="006B4587">
      <w:pPr>
        <w:pStyle w:val="NoSpacing"/>
      </w:pPr>
      <w:r w:rsidRPr="006B4587">
        <w:t>• Absorption (physical or chemical) in a liquid solvent with a subsequent desorption step.</w:t>
      </w:r>
    </w:p>
    <w:p w:rsidR="006B4587" w:rsidRPr="006B4587" w:rsidRDefault="006B4587" w:rsidP="006B4587">
      <w:pPr>
        <w:pStyle w:val="NoSpacing"/>
      </w:pPr>
      <w:r w:rsidRPr="006B4587">
        <w:t>• Adsorption (again physical or chemical) onto a mass of solid particles.</w:t>
      </w:r>
    </w:p>
    <w:p w:rsidR="006B4587" w:rsidRPr="006B4587" w:rsidRDefault="006B4587" w:rsidP="006B4587">
      <w:pPr>
        <w:pStyle w:val="NoSpacing"/>
      </w:pPr>
      <w:r w:rsidRPr="006B4587">
        <w:t xml:space="preserve">• Diffusion through a permeable or </w:t>
      </w:r>
      <w:proofErr w:type="spellStart"/>
      <w:r w:rsidRPr="006B4587">
        <w:t>semipermeable</w:t>
      </w:r>
      <w:proofErr w:type="spellEnd"/>
      <w:r w:rsidRPr="006B4587">
        <w:t xml:space="preserve"> membrane.</w:t>
      </w:r>
    </w:p>
    <w:p w:rsidR="002B5993" w:rsidRDefault="006B4587" w:rsidP="006B4587">
      <w:pPr>
        <w:pStyle w:val="NoSpacing"/>
      </w:pPr>
      <w:r w:rsidRPr="006B4587">
        <w:t>• Chemical conversion, generally on a catalyst, often as a preparatory step to one of</w:t>
      </w:r>
      <w:r w:rsidR="00EE01E2">
        <w:t xml:space="preserve"> </w:t>
      </w:r>
      <w:r w:rsidRPr="006B4587">
        <w:t>the above three methods.</w:t>
      </w:r>
      <w:r w:rsidR="00EE01E2">
        <w:tab/>
      </w:r>
      <w:r w:rsidR="00EE01E2">
        <w:tab/>
      </w:r>
      <w:r w:rsidR="00EE01E2">
        <w:tab/>
      </w:r>
      <w:r w:rsidR="00EE01E2">
        <w:tab/>
      </w:r>
      <w:r w:rsidR="00EE01E2">
        <w:tab/>
      </w:r>
      <w:r w:rsidR="00EE01E2">
        <w:tab/>
      </w:r>
      <w:r w:rsidR="00EE01E2">
        <w:tab/>
      </w:r>
    </w:p>
    <w:p w:rsidR="006B4587" w:rsidRDefault="006B4587" w:rsidP="006B4587">
      <w:pPr>
        <w:pStyle w:val="NoSpacing"/>
      </w:pPr>
      <w:r>
        <w:t>(</w:t>
      </w:r>
      <w:proofErr w:type="spellStart"/>
      <w:r w:rsidR="00EE01E2">
        <w:t>Higman</w:t>
      </w:r>
      <w:proofErr w:type="spellEnd"/>
      <w:r>
        <w:t>, page 298)</w:t>
      </w:r>
    </w:p>
    <w:p w:rsidR="006B4587" w:rsidRDefault="006B4587" w:rsidP="006B4587">
      <w:pPr>
        <w:pStyle w:val="NoSpacing"/>
      </w:pPr>
    </w:p>
    <w:p w:rsidR="00EE01E2" w:rsidRDefault="00EE01E2" w:rsidP="006B4587">
      <w:pPr>
        <w:pStyle w:val="NoSpacing"/>
      </w:pPr>
    </w:p>
    <w:p w:rsidR="00FF2FEB" w:rsidRDefault="006B4587" w:rsidP="00FF2FEB">
      <w:r>
        <w:t xml:space="preserve">It is important to pick the proper processes to ensure that the cleanest </w:t>
      </w:r>
      <w:proofErr w:type="spellStart"/>
      <w:r>
        <w:t>syngas</w:t>
      </w:r>
      <w:proofErr w:type="spellEnd"/>
      <w:r>
        <w:t xml:space="preserve"> is produced at the end of all the cleaning. Most particulates in the dirty gas can be removed through physical processes.</w:t>
      </w:r>
      <w:r w:rsidR="00B4053A">
        <w:t xml:space="preserve"> In the absorption system the acid components are removed through the use of solvents and regenerating those solvents to remove the unwanted components so it then can be reused in the absorber. The main purpose here is to remove the H</w:t>
      </w:r>
      <w:r w:rsidR="00B4053A">
        <w:rPr>
          <w:vertAlign w:val="subscript"/>
        </w:rPr>
        <w:t>2</w:t>
      </w:r>
      <w:r w:rsidR="00B4053A">
        <w:t>S and CO</w:t>
      </w:r>
      <w:r w:rsidR="00B4053A">
        <w:rPr>
          <w:vertAlign w:val="subscript"/>
        </w:rPr>
        <w:t xml:space="preserve">2 </w:t>
      </w:r>
      <w:r w:rsidR="00B4053A">
        <w:t xml:space="preserve">from the dirty </w:t>
      </w:r>
      <w:proofErr w:type="spellStart"/>
      <w:r w:rsidR="00B4053A">
        <w:t>syngas</w:t>
      </w:r>
      <w:proofErr w:type="spellEnd"/>
      <w:r w:rsidR="00B4053A">
        <w:t xml:space="preserve">. </w:t>
      </w:r>
      <w:r w:rsidR="00FF2FEB">
        <w:t xml:space="preserve">There are many solvents available for this application, plus there are multiple processes that are implemented to clean the acid gas. </w:t>
      </w:r>
    </w:p>
    <w:p w:rsidR="00EE01E2" w:rsidRDefault="00FF2FEB" w:rsidP="00FF2FEB">
      <w:pPr>
        <w:ind w:firstLine="720"/>
      </w:pPr>
      <w:r>
        <w:t>Amines are used as a chemical wash with water to clean the acid gases.</w:t>
      </w:r>
    </w:p>
    <w:p w:rsidR="00EE01E2" w:rsidRDefault="00FF2FEB" w:rsidP="00EE01E2">
      <w:pPr>
        <w:pStyle w:val="NoSpacing"/>
      </w:pPr>
      <w:r>
        <w:t xml:space="preserve"> “</w:t>
      </w:r>
      <w:r w:rsidRPr="00FF2FEB">
        <w:t xml:space="preserve">The principle amines used for synthesis gas treatment are mono- and </w:t>
      </w:r>
      <w:proofErr w:type="spellStart"/>
      <w:r w:rsidRPr="00FF2FEB">
        <w:t>diethanolamine</w:t>
      </w:r>
      <w:proofErr w:type="spellEnd"/>
      <w:r>
        <w:t xml:space="preserve"> (MEA and DEA), </w:t>
      </w:r>
      <w:proofErr w:type="spellStart"/>
      <w:r w:rsidRPr="00FF2FEB">
        <w:t>methyldiethanolamine</w:t>
      </w:r>
      <w:proofErr w:type="spellEnd"/>
      <w:r w:rsidRPr="00FF2FEB">
        <w:t xml:space="preserve"> (MDEA), and </w:t>
      </w:r>
      <w:proofErr w:type="spellStart"/>
      <w:r w:rsidRPr="00FF2FEB">
        <w:t>di-isopropanolamine</w:t>
      </w:r>
      <w:proofErr w:type="spellEnd"/>
      <w:r>
        <w:t xml:space="preserve"> </w:t>
      </w:r>
      <w:r w:rsidRPr="00FF2FEB">
        <w:t>(DIPA), the latter particularly as a co</w:t>
      </w:r>
      <w:r>
        <w:t xml:space="preserve">mponent of the </w:t>
      </w:r>
      <w:proofErr w:type="spellStart"/>
      <w:r>
        <w:t>Sulfinol</w:t>
      </w:r>
      <w:proofErr w:type="spellEnd"/>
      <w:r>
        <w:t xml:space="preserve"> solvent. </w:t>
      </w:r>
      <w:r w:rsidRPr="00FF2FEB">
        <w:t xml:space="preserve">Others amines used in natural gas applications, such as </w:t>
      </w:r>
      <w:proofErr w:type="spellStart"/>
      <w:r w:rsidRPr="00FF2FEB">
        <w:t>diglycolamine</w:t>
      </w:r>
      <w:proofErr w:type="spellEnd"/>
      <w:r w:rsidRPr="00FF2FEB">
        <w:t xml:space="preserve"> (DGA) or</w:t>
      </w:r>
      <w:r>
        <w:t xml:space="preserve"> </w:t>
      </w:r>
      <w:proofErr w:type="spellStart"/>
      <w:r w:rsidRPr="00FF2FEB">
        <w:t>triethanolamine</w:t>
      </w:r>
      <w:proofErr w:type="spellEnd"/>
      <w:r w:rsidRPr="00FF2FEB">
        <w:t xml:space="preserve"> (TEA), have not been able to make any significant impact in </w:t>
      </w:r>
      <w:proofErr w:type="spellStart"/>
      <w:r w:rsidRPr="00FF2FEB">
        <w:t>syngas</w:t>
      </w:r>
      <w:proofErr w:type="spellEnd"/>
      <w:r>
        <w:t xml:space="preserve"> applications” (</w:t>
      </w:r>
      <w:proofErr w:type="spellStart"/>
      <w:r>
        <w:t>Higman</w:t>
      </w:r>
      <w:proofErr w:type="spellEnd"/>
      <w:r>
        <w:t xml:space="preserve">, page 301). </w:t>
      </w:r>
    </w:p>
    <w:p w:rsidR="006B4587" w:rsidRDefault="006B4587">
      <w:pPr>
        <w:rPr>
          <w:b/>
        </w:rPr>
      </w:pPr>
    </w:p>
    <w:p w:rsidR="00EE01E2" w:rsidRDefault="00EE01E2">
      <w:r>
        <w:lastRenderedPageBreak/>
        <w:t>The selection of the amine can be based off of how selective it is with H</w:t>
      </w:r>
      <w:r>
        <w:rPr>
          <w:vertAlign w:val="subscript"/>
        </w:rPr>
        <w:t>2</w:t>
      </w:r>
      <w:r>
        <w:t>S and CO</w:t>
      </w:r>
      <w:r>
        <w:softHyphen/>
      </w:r>
      <w:r>
        <w:rPr>
          <w:vertAlign w:val="subscript"/>
        </w:rPr>
        <w:t>2</w:t>
      </w:r>
      <w:r>
        <w:t>, for example MDEA absorbs CO</w:t>
      </w:r>
      <w:r>
        <w:rPr>
          <w:vertAlign w:val="subscript"/>
        </w:rPr>
        <w:t xml:space="preserve">2 </w:t>
      </w:r>
      <w:r>
        <w:t>more slowly than H</w:t>
      </w:r>
      <w:r>
        <w:softHyphen/>
      </w:r>
      <w:r>
        <w:rPr>
          <w:vertAlign w:val="subscript"/>
        </w:rPr>
        <w:t>2</w:t>
      </w:r>
      <w:r>
        <w:t xml:space="preserve">S. A table comparing this can be found in the Gasification book by </w:t>
      </w:r>
      <w:proofErr w:type="spellStart"/>
      <w:r>
        <w:t>Higman</w:t>
      </w:r>
      <w:proofErr w:type="spellEnd"/>
      <w:r>
        <w:t xml:space="preserve"> on page 302 which is below as table 1.</w:t>
      </w:r>
    </w:p>
    <w:tbl>
      <w:tblPr>
        <w:tblStyle w:val="TableGrid"/>
        <w:tblW w:w="0" w:type="auto"/>
        <w:tblLook w:val="04A0"/>
      </w:tblPr>
      <w:tblGrid>
        <w:gridCol w:w="2358"/>
        <w:gridCol w:w="1710"/>
        <w:gridCol w:w="1677"/>
        <w:gridCol w:w="1915"/>
        <w:gridCol w:w="1916"/>
      </w:tblGrid>
      <w:tr w:rsidR="00EE01E2" w:rsidTr="008141DC">
        <w:tc>
          <w:tcPr>
            <w:tcW w:w="9576" w:type="dxa"/>
            <w:gridSpan w:val="5"/>
            <w:vAlign w:val="center"/>
          </w:tcPr>
          <w:p w:rsidR="00EE01E2" w:rsidRPr="008141DC" w:rsidRDefault="00EE01E2" w:rsidP="008141DC">
            <w:pPr>
              <w:pStyle w:val="NoSpacing"/>
              <w:jc w:val="center"/>
              <w:rPr>
                <w:b/>
              </w:rPr>
            </w:pPr>
            <w:r w:rsidRPr="008141DC">
              <w:rPr>
                <w:b/>
              </w:rPr>
              <w:t>Properties of Amine Solvents</w:t>
            </w:r>
          </w:p>
        </w:tc>
      </w:tr>
      <w:tr w:rsidR="00EE01E2" w:rsidTr="008141DC">
        <w:tc>
          <w:tcPr>
            <w:tcW w:w="2358" w:type="dxa"/>
            <w:vAlign w:val="center"/>
          </w:tcPr>
          <w:p w:rsidR="00EE01E2" w:rsidRDefault="00EE01E2" w:rsidP="008141DC">
            <w:pPr>
              <w:pStyle w:val="NoSpacing"/>
              <w:jc w:val="center"/>
            </w:pPr>
          </w:p>
        </w:tc>
        <w:tc>
          <w:tcPr>
            <w:tcW w:w="1710" w:type="dxa"/>
            <w:vAlign w:val="center"/>
          </w:tcPr>
          <w:p w:rsidR="00EE01E2" w:rsidRPr="008141DC" w:rsidRDefault="008141DC" w:rsidP="008141DC">
            <w:pPr>
              <w:pStyle w:val="NoSpacing"/>
              <w:jc w:val="center"/>
              <w:rPr>
                <w:b/>
              </w:rPr>
            </w:pPr>
            <w:r w:rsidRPr="008141DC">
              <w:rPr>
                <w:b/>
              </w:rPr>
              <w:t>Standard MEA</w:t>
            </w:r>
          </w:p>
        </w:tc>
        <w:tc>
          <w:tcPr>
            <w:tcW w:w="1677" w:type="dxa"/>
            <w:vAlign w:val="center"/>
          </w:tcPr>
          <w:p w:rsidR="00EE01E2" w:rsidRPr="008141DC" w:rsidRDefault="008141DC" w:rsidP="008141DC">
            <w:pPr>
              <w:pStyle w:val="NoSpacing"/>
              <w:jc w:val="center"/>
              <w:rPr>
                <w:b/>
              </w:rPr>
            </w:pPr>
            <w:r w:rsidRPr="008141DC">
              <w:rPr>
                <w:b/>
              </w:rPr>
              <w:t>Inhibited MEA</w:t>
            </w:r>
          </w:p>
        </w:tc>
        <w:tc>
          <w:tcPr>
            <w:tcW w:w="1915" w:type="dxa"/>
            <w:vAlign w:val="center"/>
          </w:tcPr>
          <w:p w:rsidR="00EE01E2" w:rsidRPr="008141DC" w:rsidRDefault="008141DC" w:rsidP="008141DC">
            <w:pPr>
              <w:pStyle w:val="NoSpacing"/>
              <w:jc w:val="center"/>
              <w:rPr>
                <w:b/>
              </w:rPr>
            </w:pPr>
            <w:r w:rsidRPr="008141DC">
              <w:rPr>
                <w:b/>
              </w:rPr>
              <w:t>DEA</w:t>
            </w:r>
          </w:p>
        </w:tc>
        <w:tc>
          <w:tcPr>
            <w:tcW w:w="1916" w:type="dxa"/>
            <w:vAlign w:val="center"/>
          </w:tcPr>
          <w:p w:rsidR="00EE01E2" w:rsidRPr="008141DC" w:rsidRDefault="008141DC" w:rsidP="008141DC">
            <w:pPr>
              <w:pStyle w:val="NoSpacing"/>
              <w:jc w:val="center"/>
              <w:rPr>
                <w:b/>
              </w:rPr>
            </w:pPr>
            <w:r w:rsidRPr="008141DC">
              <w:rPr>
                <w:b/>
              </w:rPr>
              <w:t>MDEA</w:t>
            </w:r>
          </w:p>
        </w:tc>
      </w:tr>
      <w:tr w:rsidR="00EE01E2" w:rsidTr="008141DC">
        <w:tc>
          <w:tcPr>
            <w:tcW w:w="2358" w:type="dxa"/>
            <w:vAlign w:val="center"/>
          </w:tcPr>
          <w:p w:rsidR="00EE01E2" w:rsidRPr="008141DC" w:rsidRDefault="00EE01E2" w:rsidP="008141DC">
            <w:pPr>
              <w:pStyle w:val="NoSpacing"/>
              <w:jc w:val="center"/>
              <w:rPr>
                <w:b/>
              </w:rPr>
            </w:pPr>
            <w:r w:rsidRPr="008141DC">
              <w:rPr>
                <w:b/>
              </w:rPr>
              <w:t>Molecular Weight</w:t>
            </w:r>
          </w:p>
        </w:tc>
        <w:tc>
          <w:tcPr>
            <w:tcW w:w="1710" w:type="dxa"/>
            <w:vAlign w:val="center"/>
          </w:tcPr>
          <w:p w:rsidR="00EE01E2" w:rsidRDefault="008141DC" w:rsidP="008141DC">
            <w:pPr>
              <w:pStyle w:val="NoSpacing"/>
              <w:jc w:val="center"/>
            </w:pPr>
            <w:r>
              <w:t>61</w:t>
            </w:r>
          </w:p>
        </w:tc>
        <w:tc>
          <w:tcPr>
            <w:tcW w:w="1677" w:type="dxa"/>
            <w:vAlign w:val="center"/>
          </w:tcPr>
          <w:p w:rsidR="00EE01E2" w:rsidRDefault="00EE01E2" w:rsidP="008141DC">
            <w:pPr>
              <w:pStyle w:val="NoSpacing"/>
              <w:jc w:val="center"/>
            </w:pPr>
          </w:p>
        </w:tc>
        <w:tc>
          <w:tcPr>
            <w:tcW w:w="1915" w:type="dxa"/>
            <w:vAlign w:val="center"/>
          </w:tcPr>
          <w:p w:rsidR="00EE01E2" w:rsidRDefault="008141DC" w:rsidP="008141DC">
            <w:pPr>
              <w:pStyle w:val="NoSpacing"/>
              <w:jc w:val="center"/>
            </w:pPr>
            <w:r>
              <w:t>105</w:t>
            </w:r>
          </w:p>
        </w:tc>
        <w:tc>
          <w:tcPr>
            <w:tcW w:w="1916" w:type="dxa"/>
            <w:vAlign w:val="center"/>
          </w:tcPr>
          <w:p w:rsidR="00EE01E2" w:rsidRDefault="008141DC" w:rsidP="008141DC">
            <w:pPr>
              <w:pStyle w:val="NoSpacing"/>
              <w:jc w:val="center"/>
            </w:pPr>
            <w:r>
              <w:t>119</w:t>
            </w:r>
          </w:p>
        </w:tc>
      </w:tr>
      <w:tr w:rsidR="00EE01E2" w:rsidTr="008141DC">
        <w:tc>
          <w:tcPr>
            <w:tcW w:w="2358" w:type="dxa"/>
            <w:vAlign w:val="center"/>
          </w:tcPr>
          <w:p w:rsidR="00EE01E2" w:rsidRPr="008141DC" w:rsidRDefault="00EE01E2" w:rsidP="008141DC">
            <w:pPr>
              <w:pStyle w:val="NoSpacing"/>
              <w:jc w:val="center"/>
              <w:rPr>
                <w:b/>
              </w:rPr>
            </w:pPr>
            <w:r w:rsidRPr="008141DC">
              <w:rPr>
                <w:b/>
              </w:rPr>
              <w:t>CO</w:t>
            </w:r>
            <w:r w:rsidRPr="008141DC">
              <w:rPr>
                <w:b/>
                <w:vertAlign w:val="subscript"/>
              </w:rPr>
              <w:t>2</w:t>
            </w:r>
            <w:r w:rsidRPr="008141DC">
              <w:rPr>
                <w:b/>
              </w:rPr>
              <w:t xml:space="preserve"> partial pressure (bar)</w:t>
            </w:r>
          </w:p>
        </w:tc>
        <w:tc>
          <w:tcPr>
            <w:tcW w:w="1710" w:type="dxa"/>
            <w:vAlign w:val="center"/>
          </w:tcPr>
          <w:p w:rsidR="00EE01E2" w:rsidRDefault="008141DC" w:rsidP="008141DC">
            <w:pPr>
              <w:pStyle w:val="NoSpacing"/>
              <w:jc w:val="center"/>
            </w:pPr>
            <w:r>
              <w:t>&lt;100</w:t>
            </w:r>
          </w:p>
        </w:tc>
        <w:tc>
          <w:tcPr>
            <w:tcW w:w="1677" w:type="dxa"/>
            <w:vAlign w:val="center"/>
          </w:tcPr>
          <w:p w:rsidR="00EE01E2" w:rsidRDefault="008141DC" w:rsidP="008141DC">
            <w:pPr>
              <w:pStyle w:val="NoSpacing"/>
              <w:jc w:val="center"/>
            </w:pPr>
            <w:r>
              <w:t>&lt;100</w:t>
            </w:r>
          </w:p>
        </w:tc>
        <w:tc>
          <w:tcPr>
            <w:tcW w:w="1915" w:type="dxa"/>
            <w:vAlign w:val="center"/>
          </w:tcPr>
          <w:p w:rsidR="00EE01E2" w:rsidRDefault="00EE01E2" w:rsidP="008141DC">
            <w:pPr>
              <w:pStyle w:val="NoSpacing"/>
              <w:jc w:val="center"/>
            </w:pPr>
          </w:p>
        </w:tc>
        <w:tc>
          <w:tcPr>
            <w:tcW w:w="1916" w:type="dxa"/>
            <w:vAlign w:val="center"/>
          </w:tcPr>
          <w:p w:rsidR="00EE01E2" w:rsidRDefault="00EE01E2" w:rsidP="008141DC">
            <w:pPr>
              <w:pStyle w:val="NoSpacing"/>
              <w:jc w:val="center"/>
            </w:pPr>
          </w:p>
        </w:tc>
      </w:tr>
      <w:tr w:rsidR="00EE01E2" w:rsidTr="008141DC">
        <w:tc>
          <w:tcPr>
            <w:tcW w:w="2358" w:type="dxa"/>
            <w:vAlign w:val="center"/>
          </w:tcPr>
          <w:p w:rsidR="00EE01E2" w:rsidRPr="008141DC" w:rsidRDefault="008141DC" w:rsidP="008141DC">
            <w:pPr>
              <w:pStyle w:val="NoSpacing"/>
              <w:jc w:val="center"/>
              <w:rPr>
                <w:b/>
              </w:rPr>
            </w:pPr>
            <w:r w:rsidRPr="008141DC">
              <w:rPr>
                <w:b/>
              </w:rPr>
              <w:t>Gas Purity CO</w:t>
            </w:r>
            <w:r w:rsidRPr="008141DC">
              <w:rPr>
                <w:b/>
                <w:vertAlign w:val="subscript"/>
              </w:rPr>
              <w:t>2</w:t>
            </w:r>
            <w:r w:rsidRPr="008141DC">
              <w:rPr>
                <w:b/>
              </w:rPr>
              <w:t xml:space="preserve"> (</w:t>
            </w:r>
            <w:proofErr w:type="spellStart"/>
            <w:r w:rsidRPr="008141DC">
              <w:rPr>
                <w:b/>
              </w:rPr>
              <w:t>ppmv</w:t>
            </w:r>
            <w:proofErr w:type="spellEnd"/>
            <w:r w:rsidRPr="008141DC">
              <w:rPr>
                <w:b/>
              </w:rPr>
              <w:t>)</w:t>
            </w:r>
          </w:p>
        </w:tc>
        <w:tc>
          <w:tcPr>
            <w:tcW w:w="1710" w:type="dxa"/>
            <w:vAlign w:val="center"/>
          </w:tcPr>
          <w:p w:rsidR="00EE01E2" w:rsidRDefault="008141DC" w:rsidP="008141DC">
            <w:pPr>
              <w:pStyle w:val="NoSpacing"/>
              <w:jc w:val="center"/>
            </w:pPr>
            <w:r>
              <w:t>20-50</w:t>
            </w:r>
          </w:p>
        </w:tc>
        <w:tc>
          <w:tcPr>
            <w:tcW w:w="1677" w:type="dxa"/>
            <w:vAlign w:val="center"/>
          </w:tcPr>
          <w:p w:rsidR="00EE01E2" w:rsidRDefault="008141DC" w:rsidP="008141DC">
            <w:pPr>
              <w:pStyle w:val="NoSpacing"/>
              <w:jc w:val="center"/>
            </w:pPr>
            <w:r>
              <w:t>20-50</w:t>
            </w:r>
          </w:p>
        </w:tc>
        <w:tc>
          <w:tcPr>
            <w:tcW w:w="1915" w:type="dxa"/>
            <w:vAlign w:val="center"/>
          </w:tcPr>
          <w:p w:rsidR="00EE01E2" w:rsidRDefault="00EE01E2" w:rsidP="008141DC">
            <w:pPr>
              <w:pStyle w:val="NoSpacing"/>
              <w:jc w:val="center"/>
            </w:pPr>
          </w:p>
        </w:tc>
        <w:tc>
          <w:tcPr>
            <w:tcW w:w="1916" w:type="dxa"/>
            <w:vAlign w:val="center"/>
          </w:tcPr>
          <w:p w:rsidR="00EE01E2" w:rsidRDefault="00EE01E2" w:rsidP="008141DC">
            <w:pPr>
              <w:pStyle w:val="NoSpacing"/>
              <w:jc w:val="center"/>
            </w:pPr>
          </w:p>
        </w:tc>
      </w:tr>
      <w:tr w:rsidR="00EE01E2" w:rsidTr="008141DC">
        <w:tc>
          <w:tcPr>
            <w:tcW w:w="2358" w:type="dxa"/>
            <w:vAlign w:val="center"/>
          </w:tcPr>
          <w:p w:rsidR="00EE01E2" w:rsidRPr="008141DC" w:rsidRDefault="008141DC" w:rsidP="008141DC">
            <w:pPr>
              <w:pStyle w:val="NoSpacing"/>
              <w:jc w:val="center"/>
              <w:rPr>
                <w:b/>
              </w:rPr>
            </w:pPr>
            <w:r w:rsidRPr="008141DC">
              <w:rPr>
                <w:b/>
              </w:rPr>
              <w:t>Solution Strength (</w:t>
            </w:r>
            <w:proofErr w:type="gramStart"/>
            <w:r w:rsidRPr="008141DC">
              <w:rPr>
                <w:b/>
              </w:rPr>
              <w:t>wt%</w:t>
            </w:r>
            <w:proofErr w:type="gramEnd"/>
            <w:r w:rsidRPr="008141DC">
              <w:rPr>
                <w:b/>
              </w:rPr>
              <w:t>)</w:t>
            </w:r>
          </w:p>
        </w:tc>
        <w:tc>
          <w:tcPr>
            <w:tcW w:w="1710" w:type="dxa"/>
            <w:vAlign w:val="center"/>
          </w:tcPr>
          <w:p w:rsidR="00EE01E2" w:rsidRDefault="008141DC" w:rsidP="008141DC">
            <w:pPr>
              <w:pStyle w:val="NoSpacing"/>
              <w:jc w:val="center"/>
            </w:pPr>
            <w:r>
              <w:t>10-20</w:t>
            </w:r>
          </w:p>
        </w:tc>
        <w:tc>
          <w:tcPr>
            <w:tcW w:w="1677" w:type="dxa"/>
            <w:vAlign w:val="center"/>
          </w:tcPr>
          <w:p w:rsidR="00EE01E2" w:rsidRDefault="008141DC" w:rsidP="008141DC">
            <w:pPr>
              <w:pStyle w:val="NoSpacing"/>
              <w:jc w:val="center"/>
            </w:pPr>
            <w:r>
              <w:t>30</w:t>
            </w:r>
          </w:p>
        </w:tc>
        <w:tc>
          <w:tcPr>
            <w:tcW w:w="1915" w:type="dxa"/>
            <w:vAlign w:val="center"/>
          </w:tcPr>
          <w:p w:rsidR="00EE01E2" w:rsidRDefault="008141DC" w:rsidP="008141DC">
            <w:pPr>
              <w:pStyle w:val="NoSpacing"/>
              <w:jc w:val="center"/>
            </w:pPr>
            <w:r>
              <w:t>25-35</w:t>
            </w:r>
          </w:p>
        </w:tc>
        <w:tc>
          <w:tcPr>
            <w:tcW w:w="1916" w:type="dxa"/>
            <w:vAlign w:val="center"/>
          </w:tcPr>
          <w:p w:rsidR="00EE01E2" w:rsidRDefault="008141DC" w:rsidP="008141DC">
            <w:pPr>
              <w:pStyle w:val="NoSpacing"/>
              <w:jc w:val="center"/>
            </w:pPr>
            <w:r>
              <w:t>30-50</w:t>
            </w:r>
          </w:p>
        </w:tc>
      </w:tr>
      <w:tr w:rsidR="00EE01E2" w:rsidTr="008141DC">
        <w:tc>
          <w:tcPr>
            <w:tcW w:w="2358" w:type="dxa"/>
            <w:vAlign w:val="center"/>
          </w:tcPr>
          <w:p w:rsidR="00EE01E2" w:rsidRPr="008141DC" w:rsidRDefault="008141DC" w:rsidP="008141DC">
            <w:pPr>
              <w:pStyle w:val="NoSpacing"/>
              <w:jc w:val="center"/>
              <w:rPr>
                <w:b/>
              </w:rPr>
            </w:pPr>
            <w:r w:rsidRPr="008141DC">
              <w:rPr>
                <w:b/>
              </w:rPr>
              <w:t>Solution Loading (mol/mol)</w:t>
            </w:r>
          </w:p>
        </w:tc>
        <w:tc>
          <w:tcPr>
            <w:tcW w:w="1710" w:type="dxa"/>
            <w:vAlign w:val="center"/>
          </w:tcPr>
          <w:p w:rsidR="00EE01E2" w:rsidRDefault="008141DC" w:rsidP="008141DC">
            <w:pPr>
              <w:pStyle w:val="NoSpacing"/>
              <w:jc w:val="center"/>
            </w:pPr>
            <w:r>
              <w:t>0.25-0.45</w:t>
            </w:r>
          </w:p>
        </w:tc>
        <w:tc>
          <w:tcPr>
            <w:tcW w:w="1677" w:type="dxa"/>
            <w:vAlign w:val="center"/>
          </w:tcPr>
          <w:p w:rsidR="00EE01E2" w:rsidRDefault="00EE01E2" w:rsidP="008141DC">
            <w:pPr>
              <w:pStyle w:val="NoSpacing"/>
              <w:jc w:val="center"/>
            </w:pPr>
          </w:p>
        </w:tc>
        <w:tc>
          <w:tcPr>
            <w:tcW w:w="1915" w:type="dxa"/>
            <w:vAlign w:val="center"/>
          </w:tcPr>
          <w:p w:rsidR="00EE01E2" w:rsidRDefault="008141DC" w:rsidP="008141DC">
            <w:pPr>
              <w:pStyle w:val="NoSpacing"/>
              <w:jc w:val="center"/>
            </w:pPr>
            <w:r>
              <w:t>0.4-0.8</w:t>
            </w:r>
          </w:p>
        </w:tc>
        <w:tc>
          <w:tcPr>
            <w:tcW w:w="1916" w:type="dxa"/>
            <w:vAlign w:val="center"/>
          </w:tcPr>
          <w:p w:rsidR="00EE01E2" w:rsidRDefault="008141DC" w:rsidP="008141DC">
            <w:pPr>
              <w:pStyle w:val="NoSpacing"/>
              <w:jc w:val="center"/>
            </w:pPr>
            <w:r>
              <w:t>0.8</w:t>
            </w:r>
          </w:p>
        </w:tc>
      </w:tr>
      <w:tr w:rsidR="00EE01E2" w:rsidTr="008141DC">
        <w:tc>
          <w:tcPr>
            <w:tcW w:w="2358" w:type="dxa"/>
            <w:vAlign w:val="center"/>
          </w:tcPr>
          <w:p w:rsidR="008141DC" w:rsidRPr="008141DC" w:rsidRDefault="008141DC" w:rsidP="008141DC">
            <w:pPr>
              <w:pStyle w:val="NoSpacing"/>
              <w:jc w:val="center"/>
              <w:rPr>
                <w:b/>
              </w:rPr>
            </w:pPr>
            <w:r w:rsidRPr="008141DC">
              <w:rPr>
                <w:b/>
              </w:rPr>
              <w:t>Energy Demand (MJ/</w:t>
            </w:r>
            <w:proofErr w:type="spellStart"/>
            <w:r w:rsidRPr="008141DC">
              <w:rPr>
                <w:b/>
              </w:rPr>
              <w:t>kmol</w:t>
            </w:r>
            <w:proofErr w:type="spellEnd"/>
            <w:r w:rsidRPr="008141DC">
              <w:rPr>
                <w:b/>
              </w:rPr>
              <w:t xml:space="preserve"> CO</w:t>
            </w:r>
            <w:r w:rsidRPr="008141DC">
              <w:rPr>
                <w:b/>
                <w:vertAlign w:val="subscript"/>
              </w:rPr>
              <w:t>2</w:t>
            </w:r>
            <w:r w:rsidRPr="008141DC">
              <w:rPr>
                <w:b/>
              </w:rPr>
              <w:t>)</w:t>
            </w:r>
          </w:p>
        </w:tc>
        <w:tc>
          <w:tcPr>
            <w:tcW w:w="1710" w:type="dxa"/>
            <w:vAlign w:val="center"/>
          </w:tcPr>
          <w:p w:rsidR="00EE01E2" w:rsidRDefault="008141DC" w:rsidP="008141DC">
            <w:pPr>
              <w:pStyle w:val="NoSpacing"/>
              <w:jc w:val="center"/>
            </w:pPr>
            <w:r>
              <w:t>210</w:t>
            </w:r>
          </w:p>
        </w:tc>
        <w:tc>
          <w:tcPr>
            <w:tcW w:w="1677" w:type="dxa"/>
            <w:vAlign w:val="center"/>
          </w:tcPr>
          <w:p w:rsidR="00EE01E2" w:rsidRDefault="008141DC" w:rsidP="008141DC">
            <w:pPr>
              <w:pStyle w:val="NoSpacing"/>
              <w:jc w:val="center"/>
            </w:pPr>
            <w:r>
              <w:t>140</w:t>
            </w:r>
          </w:p>
        </w:tc>
        <w:tc>
          <w:tcPr>
            <w:tcW w:w="1915" w:type="dxa"/>
            <w:vAlign w:val="center"/>
          </w:tcPr>
          <w:p w:rsidR="00EE01E2" w:rsidRDefault="00EE01E2" w:rsidP="008141DC">
            <w:pPr>
              <w:pStyle w:val="NoSpacing"/>
              <w:jc w:val="center"/>
            </w:pPr>
          </w:p>
        </w:tc>
        <w:tc>
          <w:tcPr>
            <w:tcW w:w="1916" w:type="dxa"/>
            <w:vAlign w:val="center"/>
          </w:tcPr>
          <w:p w:rsidR="00EE01E2" w:rsidRDefault="00EE01E2" w:rsidP="008141DC">
            <w:pPr>
              <w:pStyle w:val="NoSpacing"/>
              <w:jc w:val="center"/>
            </w:pPr>
          </w:p>
        </w:tc>
      </w:tr>
      <w:tr w:rsidR="008141DC" w:rsidTr="008141DC">
        <w:tc>
          <w:tcPr>
            <w:tcW w:w="2358" w:type="dxa"/>
            <w:vAlign w:val="center"/>
          </w:tcPr>
          <w:p w:rsidR="008141DC" w:rsidRPr="008141DC" w:rsidRDefault="008141DC" w:rsidP="008141DC">
            <w:pPr>
              <w:pStyle w:val="NoSpacing"/>
              <w:jc w:val="center"/>
              <w:rPr>
                <w:b/>
              </w:rPr>
            </w:pPr>
            <w:r w:rsidRPr="008141DC">
              <w:rPr>
                <w:b/>
              </w:rPr>
              <w:t>Notes:</w:t>
            </w:r>
          </w:p>
        </w:tc>
        <w:tc>
          <w:tcPr>
            <w:tcW w:w="1710" w:type="dxa"/>
            <w:vAlign w:val="center"/>
          </w:tcPr>
          <w:p w:rsidR="008141DC" w:rsidRDefault="008141DC" w:rsidP="008141DC">
            <w:pPr>
              <w:pStyle w:val="NoSpacing"/>
              <w:jc w:val="center"/>
            </w:pPr>
          </w:p>
        </w:tc>
        <w:tc>
          <w:tcPr>
            <w:tcW w:w="1677" w:type="dxa"/>
            <w:vAlign w:val="center"/>
          </w:tcPr>
          <w:p w:rsidR="008141DC" w:rsidRDefault="008141DC" w:rsidP="008141DC">
            <w:pPr>
              <w:pStyle w:val="NoSpacing"/>
              <w:jc w:val="center"/>
            </w:pPr>
          </w:p>
        </w:tc>
        <w:tc>
          <w:tcPr>
            <w:tcW w:w="1915" w:type="dxa"/>
            <w:vAlign w:val="center"/>
          </w:tcPr>
          <w:p w:rsidR="008141DC" w:rsidRDefault="008141DC" w:rsidP="008141DC">
            <w:pPr>
              <w:pStyle w:val="NoSpacing"/>
              <w:jc w:val="center"/>
            </w:pPr>
          </w:p>
        </w:tc>
        <w:tc>
          <w:tcPr>
            <w:tcW w:w="1916" w:type="dxa"/>
            <w:vAlign w:val="center"/>
          </w:tcPr>
          <w:p w:rsidR="008141DC" w:rsidRDefault="008141DC" w:rsidP="008141DC">
            <w:pPr>
              <w:pStyle w:val="NoSpacing"/>
              <w:jc w:val="center"/>
            </w:pPr>
            <w:r>
              <w:t>Selective</w:t>
            </w:r>
          </w:p>
        </w:tc>
      </w:tr>
    </w:tbl>
    <w:p w:rsidR="00EE01E2" w:rsidRDefault="0079534A" w:rsidP="0079534A">
      <w:pPr>
        <w:jc w:val="center"/>
        <w:rPr>
          <w:b/>
        </w:rPr>
      </w:pPr>
      <w:r>
        <w:rPr>
          <w:b/>
        </w:rPr>
        <w:t>Table 1: Properties of Amine Solvents (</w:t>
      </w:r>
      <w:proofErr w:type="spellStart"/>
      <w:r>
        <w:rPr>
          <w:b/>
        </w:rPr>
        <w:t>Higman</w:t>
      </w:r>
      <w:proofErr w:type="spellEnd"/>
      <w:r>
        <w:rPr>
          <w:b/>
        </w:rPr>
        <w:t>, page 302)</w:t>
      </w:r>
    </w:p>
    <w:p w:rsidR="00C018D5" w:rsidRDefault="00654BDE" w:rsidP="0079534A">
      <w:r>
        <w:tab/>
        <w:t xml:space="preserve">There are also physical washes </w:t>
      </w:r>
      <w:r w:rsidR="00C018D5">
        <w:t>that can be used in the acid gas separations because they have a good solubility with CO</w:t>
      </w:r>
      <w:r w:rsidR="00C018D5">
        <w:rPr>
          <w:vertAlign w:val="subscript"/>
        </w:rPr>
        <w:t xml:space="preserve">2, </w:t>
      </w:r>
      <w:r w:rsidR="00C018D5">
        <w:t>H</w:t>
      </w:r>
      <w:r w:rsidR="00C018D5">
        <w:rPr>
          <w:vertAlign w:val="subscript"/>
        </w:rPr>
        <w:t>2</w:t>
      </w:r>
      <w:r w:rsidR="00C018D5">
        <w:t>S, and COS and work at lower operating temperatures where the viscosity is increased and can be adjusted to affect the overall solubility (</w:t>
      </w:r>
      <w:proofErr w:type="spellStart"/>
      <w:r w:rsidR="00C018D5">
        <w:t>Higman</w:t>
      </w:r>
      <w:proofErr w:type="spellEnd"/>
      <w:r w:rsidR="00C018D5">
        <w:t xml:space="preserve">, page 303). A table of these physical solvent properties can be found in the Gasification book by </w:t>
      </w:r>
      <w:proofErr w:type="spellStart"/>
      <w:r w:rsidR="00C018D5">
        <w:t>Higman</w:t>
      </w:r>
      <w:proofErr w:type="spellEnd"/>
      <w:r w:rsidR="00C018D5">
        <w:t xml:space="preserve"> on page 304 which is shown below as table 2.</w:t>
      </w:r>
    </w:p>
    <w:p w:rsidR="00EB0B73" w:rsidRDefault="00EB0B73" w:rsidP="0079534A"/>
    <w:tbl>
      <w:tblPr>
        <w:tblStyle w:val="TableGrid"/>
        <w:tblW w:w="0" w:type="auto"/>
        <w:tblLook w:val="04A0"/>
      </w:tblPr>
      <w:tblGrid>
        <w:gridCol w:w="1915"/>
        <w:gridCol w:w="1915"/>
        <w:gridCol w:w="1915"/>
        <w:gridCol w:w="1915"/>
        <w:gridCol w:w="1916"/>
      </w:tblGrid>
      <w:tr w:rsidR="00C018D5" w:rsidTr="009B6622">
        <w:tc>
          <w:tcPr>
            <w:tcW w:w="9576" w:type="dxa"/>
            <w:gridSpan w:val="5"/>
          </w:tcPr>
          <w:p w:rsidR="00C018D5" w:rsidRPr="00EB0B73" w:rsidRDefault="00C018D5" w:rsidP="00C018D5">
            <w:pPr>
              <w:pStyle w:val="NoSpacing"/>
              <w:jc w:val="center"/>
              <w:rPr>
                <w:b/>
              </w:rPr>
            </w:pPr>
            <w:r w:rsidRPr="00EB0B73">
              <w:rPr>
                <w:b/>
              </w:rPr>
              <w:t>Properties of Physical Solvents</w:t>
            </w:r>
          </w:p>
        </w:tc>
      </w:tr>
      <w:tr w:rsidR="00C018D5" w:rsidTr="00C018D5">
        <w:tc>
          <w:tcPr>
            <w:tcW w:w="1915" w:type="dxa"/>
          </w:tcPr>
          <w:p w:rsidR="00C018D5" w:rsidRDefault="00C018D5" w:rsidP="00C018D5">
            <w:pPr>
              <w:pStyle w:val="NoSpacing"/>
              <w:jc w:val="center"/>
            </w:pPr>
          </w:p>
        </w:tc>
        <w:tc>
          <w:tcPr>
            <w:tcW w:w="1915" w:type="dxa"/>
          </w:tcPr>
          <w:p w:rsidR="00C018D5" w:rsidRDefault="00C018D5" w:rsidP="00C018D5">
            <w:pPr>
              <w:pStyle w:val="NoSpacing"/>
              <w:jc w:val="center"/>
            </w:pPr>
          </w:p>
        </w:tc>
        <w:tc>
          <w:tcPr>
            <w:tcW w:w="1915" w:type="dxa"/>
          </w:tcPr>
          <w:p w:rsidR="00C018D5" w:rsidRPr="00EB0B73" w:rsidRDefault="00C018D5" w:rsidP="00C018D5">
            <w:pPr>
              <w:pStyle w:val="NoSpacing"/>
              <w:jc w:val="center"/>
              <w:rPr>
                <w:b/>
              </w:rPr>
            </w:pPr>
            <w:r w:rsidRPr="00EB0B73">
              <w:rPr>
                <w:b/>
              </w:rPr>
              <w:t>Methanol</w:t>
            </w:r>
          </w:p>
        </w:tc>
        <w:tc>
          <w:tcPr>
            <w:tcW w:w="1915" w:type="dxa"/>
          </w:tcPr>
          <w:p w:rsidR="00C018D5" w:rsidRPr="00EB0B73" w:rsidRDefault="00C018D5" w:rsidP="00C018D5">
            <w:pPr>
              <w:pStyle w:val="NoSpacing"/>
              <w:jc w:val="center"/>
              <w:rPr>
                <w:b/>
              </w:rPr>
            </w:pPr>
            <w:r w:rsidRPr="00EB0B73">
              <w:rPr>
                <w:b/>
              </w:rPr>
              <w:t>NMP</w:t>
            </w:r>
          </w:p>
        </w:tc>
        <w:tc>
          <w:tcPr>
            <w:tcW w:w="1916" w:type="dxa"/>
          </w:tcPr>
          <w:p w:rsidR="00C018D5" w:rsidRPr="00EB0B73" w:rsidRDefault="00C018D5" w:rsidP="00C018D5">
            <w:pPr>
              <w:pStyle w:val="NoSpacing"/>
              <w:jc w:val="center"/>
              <w:rPr>
                <w:b/>
              </w:rPr>
            </w:pPr>
            <w:r w:rsidRPr="00EB0B73">
              <w:rPr>
                <w:b/>
              </w:rPr>
              <w:t>DMPEG</w:t>
            </w:r>
          </w:p>
        </w:tc>
      </w:tr>
      <w:tr w:rsidR="00C018D5" w:rsidTr="00C018D5">
        <w:tc>
          <w:tcPr>
            <w:tcW w:w="1915" w:type="dxa"/>
          </w:tcPr>
          <w:p w:rsidR="00C018D5" w:rsidRPr="00EB0B73" w:rsidRDefault="00C018D5" w:rsidP="00C018D5">
            <w:pPr>
              <w:pStyle w:val="NoSpacing"/>
              <w:jc w:val="center"/>
              <w:rPr>
                <w:b/>
              </w:rPr>
            </w:pPr>
            <w:r w:rsidRPr="00EB0B73">
              <w:rPr>
                <w:b/>
              </w:rPr>
              <w:t>Chemical Formula</w:t>
            </w:r>
          </w:p>
        </w:tc>
        <w:tc>
          <w:tcPr>
            <w:tcW w:w="1915" w:type="dxa"/>
          </w:tcPr>
          <w:p w:rsidR="00C018D5" w:rsidRDefault="00C018D5" w:rsidP="00C018D5">
            <w:pPr>
              <w:pStyle w:val="NoSpacing"/>
              <w:jc w:val="center"/>
            </w:pPr>
          </w:p>
        </w:tc>
        <w:tc>
          <w:tcPr>
            <w:tcW w:w="1915" w:type="dxa"/>
          </w:tcPr>
          <w:p w:rsidR="00C018D5" w:rsidRPr="00C018D5" w:rsidRDefault="00C018D5" w:rsidP="00C018D5">
            <w:pPr>
              <w:pStyle w:val="NoSpacing"/>
              <w:jc w:val="center"/>
            </w:pPr>
            <w:r>
              <w:t>CH</w:t>
            </w:r>
            <w:r>
              <w:rPr>
                <w:vertAlign w:val="subscript"/>
              </w:rPr>
              <w:t>3</w:t>
            </w:r>
            <w:r>
              <w:t>OH</w:t>
            </w:r>
          </w:p>
        </w:tc>
        <w:tc>
          <w:tcPr>
            <w:tcW w:w="1915" w:type="dxa"/>
          </w:tcPr>
          <w:p w:rsidR="00C018D5" w:rsidRDefault="00C018D5" w:rsidP="00C018D5">
            <w:pPr>
              <w:pStyle w:val="NoSpacing"/>
              <w:jc w:val="center"/>
            </w:pPr>
            <w:r>
              <w:t>CH</w:t>
            </w:r>
            <w:r>
              <w:rPr>
                <w:vertAlign w:val="subscript"/>
              </w:rPr>
              <w:t>3</w:t>
            </w:r>
            <w:r>
              <w:t>N-(H</w:t>
            </w:r>
            <w:r>
              <w:rPr>
                <w:vertAlign w:val="subscript"/>
              </w:rPr>
              <w:t>2</w:t>
            </w:r>
            <w:r>
              <w:t>C)</w:t>
            </w:r>
            <w:r>
              <w:rPr>
                <w:vertAlign w:val="subscript"/>
              </w:rPr>
              <w:t>3</w:t>
            </w:r>
          </w:p>
          <w:p w:rsidR="00C018D5" w:rsidRPr="00C018D5" w:rsidRDefault="00C018D5" w:rsidP="00C018D5">
            <w:pPr>
              <w:pStyle w:val="NoSpacing"/>
              <w:jc w:val="center"/>
            </w:pPr>
            <w:r>
              <w:t>C=O</w:t>
            </w:r>
          </w:p>
        </w:tc>
        <w:tc>
          <w:tcPr>
            <w:tcW w:w="1916" w:type="dxa"/>
          </w:tcPr>
          <w:p w:rsidR="00C018D5" w:rsidRDefault="00C018D5" w:rsidP="00C018D5">
            <w:pPr>
              <w:pStyle w:val="NoSpacing"/>
              <w:jc w:val="center"/>
              <w:rPr>
                <w:vertAlign w:val="subscript"/>
              </w:rPr>
            </w:pPr>
            <w:r>
              <w:t>CH</w:t>
            </w:r>
            <w:r>
              <w:rPr>
                <w:vertAlign w:val="subscript"/>
              </w:rPr>
              <w:t>3</w:t>
            </w:r>
            <w:r>
              <w:t>O(C</w:t>
            </w:r>
            <w:r>
              <w:rPr>
                <w:vertAlign w:val="subscript"/>
              </w:rPr>
              <w:t>2</w:t>
            </w:r>
            <w:r>
              <w:t>H</w:t>
            </w:r>
            <w:r>
              <w:rPr>
                <w:vertAlign w:val="subscript"/>
              </w:rPr>
              <w:t>4</w:t>
            </w:r>
            <w:r>
              <w:t>O)</w:t>
            </w:r>
            <w:r>
              <w:rPr>
                <w:vertAlign w:val="subscript"/>
              </w:rPr>
              <w:t>X</w:t>
            </w:r>
          </w:p>
          <w:p w:rsidR="00C018D5" w:rsidRPr="00C018D5" w:rsidRDefault="00C018D5" w:rsidP="00C018D5">
            <w:pPr>
              <w:pStyle w:val="NoSpacing"/>
              <w:jc w:val="center"/>
              <w:rPr>
                <w:vertAlign w:val="subscript"/>
              </w:rPr>
            </w:pPr>
            <w:r>
              <w:t>CH</w:t>
            </w:r>
            <w:r>
              <w:rPr>
                <w:vertAlign w:val="subscript"/>
              </w:rPr>
              <w:t>3</w:t>
            </w:r>
          </w:p>
        </w:tc>
      </w:tr>
      <w:tr w:rsidR="00C018D5" w:rsidTr="00C018D5">
        <w:tc>
          <w:tcPr>
            <w:tcW w:w="1915" w:type="dxa"/>
          </w:tcPr>
          <w:p w:rsidR="00C018D5" w:rsidRPr="00EB0B73" w:rsidRDefault="00C018D5" w:rsidP="00C018D5">
            <w:pPr>
              <w:pStyle w:val="NoSpacing"/>
              <w:jc w:val="center"/>
              <w:rPr>
                <w:b/>
              </w:rPr>
            </w:pPr>
            <w:r w:rsidRPr="00EB0B73">
              <w:rPr>
                <w:b/>
              </w:rPr>
              <w:t>Mol. Weight</w:t>
            </w:r>
          </w:p>
        </w:tc>
        <w:tc>
          <w:tcPr>
            <w:tcW w:w="1915" w:type="dxa"/>
          </w:tcPr>
          <w:p w:rsidR="00C018D5" w:rsidRDefault="00C018D5" w:rsidP="00C018D5">
            <w:pPr>
              <w:pStyle w:val="NoSpacing"/>
              <w:jc w:val="center"/>
            </w:pPr>
            <w:r>
              <w:t>Kg/</w:t>
            </w:r>
            <w:proofErr w:type="spellStart"/>
            <w:r>
              <w:t>kmol</w:t>
            </w:r>
            <w:proofErr w:type="spellEnd"/>
          </w:p>
        </w:tc>
        <w:tc>
          <w:tcPr>
            <w:tcW w:w="1915" w:type="dxa"/>
          </w:tcPr>
          <w:p w:rsidR="00C018D5" w:rsidRDefault="00C018D5" w:rsidP="00C018D5">
            <w:pPr>
              <w:pStyle w:val="NoSpacing"/>
              <w:jc w:val="center"/>
            </w:pPr>
            <w:r>
              <w:t>32</w:t>
            </w:r>
          </w:p>
        </w:tc>
        <w:tc>
          <w:tcPr>
            <w:tcW w:w="1915" w:type="dxa"/>
          </w:tcPr>
          <w:p w:rsidR="00C018D5" w:rsidRDefault="00C018D5" w:rsidP="00C018D5">
            <w:pPr>
              <w:pStyle w:val="NoSpacing"/>
              <w:jc w:val="center"/>
            </w:pPr>
            <w:r>
              <w:t>99</w:t>
            </w:r>
          </w:p>
        </w:tc>
        <w:tc>
          <w:tcPr>
            <w:tcW w:w="1916" w:type="dxa"/>
          </w:tcPr>
          <w:p w:rsidR="00C018D5" w:rsidRDefault="00C018D5" w:rsidP="00C018D5">
            <w:pPr>
              <w:pStyle w:val="NoSpacing"/>
              <w:jc w:val="center"/>
            </w:pPr>
            <w:r>
              <w:t>178 to 442</w:t>
            </w:r>
          </w:p>
        </w:tc>
      </w:tr>
      <w:tr w:rsidR="00C018D5" w:rsidTr="00C018D5">
        <w:tc>
          <w:tcPr>
            <w:tcW w:w="1915" w:type="dxa"/>
          </w:tcPr>
          <w:p w:rsidR="00C018D5" w:rsidRPr="00EB0B73" w:rsidRDefault="00C018D5" w:rsidP="00C018D5">
            <w:pPr>
              <w:pStyle w:val="NoSpacing"/>
              <w:jc w:val="center"/>
              <w:rPr>
                <w:b/>
              </w:rPr>
            </w:pPr>
            <w:r w:rsidRPr="00EB0B73">
              <w:rPr>
                <w:b/>
              </w:rPr>
              <w:t xml:space="preserve">Boiling Point at 760 </w:t>
            </w:r>
            <w:proofErr w:type="spellStart"/>
            <w:r w:rsidRPr="00EB0B73">
              <w:rPr>
                <w:b/>
              </w:rPr>
              <w:t>Torr</w:t>
            </w:r>
            <w:proofErr w:type="spellEnd"/>
          </w:p>
        </w:tc>
        <w:tc>
          <w:tcPr>
            <w:tcW w:w="1915" w:type="dxa"/>
          </w:tcPr>
          <w:p w:rsidR="00C018D5" w:rsidRDefault="00C018D5" w:rsidP="00C018D5">
            <w:pPr>
              <w:pStyle w:val="NoSpacing"/>
              <w:jc w:val="center"/>
            </w:pPr>
            <w:r>
              <w:rPr>
                <w:rFonts w:ascii="Calibri" w:hAnsi="Calibri"/>
              </w:rPr>
              <w:t>°</w:t>
            </w:r>
            <w:r>
              <w:t>C</w:t>
            </w:r>
          </w:p>
        </w:tc>
        <w:tc>
          <w:tcPr>
            <w:tcW w:w="1915" w:type="dxa"/>
          </w:tcPr>
          <w:p w:rsidR="00C018D5" w:rsidRDefault="00C018D5" w:rsidP="00C018D5">
            <w:pPr>
              <w:pStyle w:val="NoSpacing"/>
              <w:jc w:val="center"/>
            </w:pPr>
            <w:r>
              <w:t>64</w:t>
            </w:r>
          </w:p>
        </w:tc>
        <w:tc>
          <w:tcPr>
            <w:tcW w:w="1915" w:type="dxa"/>
          </w:tcPr>
          <w:p w:rsidR="00C018D5" w:rsidRDefault="00C018D5" w:rsidP="00C018D5">
            <w:pPr>
              <w:pStyle w:val="NoSpacing"/>
              <w:jc w:val="center"/>
            </w:pPr>
            <w:r>
              <w:t>202</w:t>
            </w:r>
          </w:p>
        </w:tc>
        <w:tc>
          <w:tcPr>
            <w:tcW w:w="1916" w:type="dxa"/>
          </w:tcPr>
          <w:p w:rsidR="00C018D5" w:rsidRDefault="00C018D5" w:rsidP="00C018D5">
            <w:pPr>
              <w:pStyle w:val="NoSpacing"/>
              <w:jc w:val="center"/>
            </w:pPr>
            <w:r>
              <w:t>213 to 467</w:t>
            </w:r>
          </w:p>
        </w:tc>
      </w:tr>
      <w:tr w:rsidR="00C018D5" w:rsidTr="00C018D5">
        <w:tc>
          <w:tcPr>
            <w:tcW w:w="1915" w:type="dxa"/>
          </w:tcPr>
          <w:p w:rsidR="00C018D5" w:rsidRPr="00EB0B73" w:rsidRDefault="00C018D5" w:rsidP="00C018D5">
            <w:pPr>
              <w:pStyle w:val="NoSpacing"/>
              <w:jc w:val="center"/>
              <w:rPr>
                <w:b/>
              </w:rPr>
            </w:pPr>
            <w:r w:rsidRPr="00EB0B73">
              <w:rPr>
                <w:b/>
              </w:rPr>
              <w:t>Melting Point</w:t>
            </w:r>
          </w:p>
        </w:tc>
        <w:tc>
          <w:tcPr>
            <w:tcW w:w="1915" w:type="dxa"/>
          </w:tcPr>
          <w:p w:rsidR="00C018D5" w:rsidRDefault="00C018D5" w:rsidP="00C018D5">
            <w:pPr>
              <w:pStyle w:val="NoSpacing"/>
              <w:jc w:val="center"/>
            </w:pPr>
            <w:r>
              <w:rPr>
                <w:rFonts w:ascii="Calibri" w:hAnsi="Calibri"/>
              </w:rPr>
              <w:t>°</w:t>
            </w:r>
            <w:r>
              <w:t>C</w:t>
            </w:r>
          </w:p>
        </w:tc>
        <w:tc>
          <w:tcPr>
            <w:tcW w:w="1915" w:type="dxa"/>
          </w:tcPr>
          <w:p w:rsidR="00C018D5" w:rsidRDefault="00C018D5" w:rsidP="00C018D5">
            <w:pPr>
              <w:pStyle w:val="NoSpacing"/>
              <w:jc w:val="center"/>
            </w:pPr>
            <w:r>
              <w:t>-94</w:t>
            </w:r>
          </w:p>
        </w:tc>
        <w:tc>
          <w:tcPr>
            <w:tcW w:w="1915" w:type="dxa"/>
          </w:tcPr>
          <w:p w:rsidR="00C018D5" w:rsidRDefault="00C018D5" w:rsidP="00C018D5">
            <w:pPr>
              <w:pStyle w:val="NoSpacing"/>
              <w:jc w:val="center"/>
            </w:pPr>
            <w:r>
              <w:t>-24.4</w:t>
            </w:r>
          </w:p>
        </w:tc>
        <w:tc>
          <w:tcPr>
            <w:tcW w:w="1916" w:type="dxa"/>
          </w:tcPr>
          <w:p w:rsidR="00C018D5" w:rsidRDefault="00C018D5" w:rsidP="00C018D5">
            <w:pPr>
              <w:pStyle w:val="NoSpacing"/>
              <w:jc w:val="center"/>
            </w:pPr>
            <w:r>
              <w:t>-20 to -29</w:t>
            </w:r>
          </w:p>
        </w:tc>
      </w:tr>
      <w:tr w:rsidR="00C018D5" w:rsidTr="00C018D5">
        <w:tc>
          <w:tcPr>
            <w:tcW w:w="1915" w:type="dxa"/>
          </w:tcPr>
          <w:p w:rsidR="00C018D5" w:rsidRPr="00EB0B73" w:rsidRDefault="00C018D5" w:rsidP="00C018D5">
            <w:pPr>
              <w:pStyle w:val="NoSpacing"/>
              <w:jc w:val="center"/>
              <w:rPr>
                <w:b/>
              </w:rPr>
            </w:pPr>
            <w:r w:rsidRPr="00EB0B73">
              <w:rPr>
                <w:b/>
              </w:rPr>
              <w:lastRenderedPageBreak/>
              <w:t>Viscosity</w:t>
            </w:r>
          </w:p>
        </w:tc>
        <w:tc>
          <w:tcPr>
            <w:tcW w:w="1915" w:type="dxa"/>
          </w:tcPr>
          <w:p w:rsidR="00C018D5" w:rsidRDefault="00C018D5" w:rsidP="00C018D5">
            <w:pPr>
              <w:pStyle w:val="NoSpacing"/>
              <w:jc w:val="center"/>
            </w:pPr>
            <w:proofErr w:type="spellStart"/>
            <w:r>
              <w:t>cP</w:t>
            </w:r>
            <w:proofErr w:type="spellEnd"/>
          </w:p>
        </w:tc>
        <w:tc>
          <w:tcPr>
            <w:tcW w:w="1915" w:type="dxa"/>
          </w:tcPr>
          <w:p w:rsidR="00C018D5" w:rsidRDefault="00C018D5" w:rsidP="00C018D5">
            <w:pPr>
              <w:pStyle w:val="NoSpacing"/>
              <w:jc w:val="center"/>
            </w:pPr>
            <w:r>
              <w:t>0.85 at -15</w:t>
            </w:r>
            <w:r>
              <w:rPr>
                <w:rFonts w:ascii="Calibri" w:hAnsi="Calibri"/>
              </w:rPr>
              <w:t>°</w:t>
            </w:r>
            <w:r>
              <w:t>C</w:t>
            </w:r>
          </w:p>
          <w:p w:rsidR="00C018D5" w:rsidRDefault="00C018D5" w:rsidP="00C018D5">
            <w:pPr>
              <w:pStyle w:val="NoSpacing"/>
              <w:jc w:val="center"/>
            </w:pPr>
            <w:r>
              <w:t>1.4 at -30</w:t>
            </w:r>
            <w:r>
              <w:rPr>
                <w:rFonts w:ascii="Calibri" w:hAnsi="Calibri"/>
              </w:rPr>
              <w:t>°</w:t>
            </w:r>
            <w:r>
              <w:t>C</w:t>
            </w:r>
          </w:p>
          <w:p w:rsidR="00C018D5" w:rsidRDefault="00C018D5" w:rsidP="00C018D5">
            <w:pPr>
              <w:pStyle w:val="NoSpacing"/>
              <w:jc w:val="center"/>
            </w:pPr>
            <w:r>
              <w:t>2.4 at -50</w:t>
            </w:r>
            <w:r>
              <w:rPr>
                <w:rFonts w:ascii="Calibri" w:hAnsi="Calibri"/>
              </w:rPr>
              <w:t>°</w:t>
            </w:r>
            <w:r>
              <w:t>C</w:t>
            </w:r>
          </w:p>
        </w:tc>
        <w:tc>
          <w:tcPr>
            <w:tcW w:w="1915" w:type="dxa"/>
          </w:tcPr>
          <w:p w:rsidR="00C018D5" w:rsidRDefault="00C018D5" w:rsidP="00C018D5">
            <w:pPr>
              <w:pStyle w:val="NoSpacing"/>
              <w:jc w:val="center"/>
            </w:pPr>
            <w:r>
              <w:t>1.65 at 30</w:t>
            </w:r>
            <w:r w:rsidR="00EB0B73" w:rsidRPr="00EB0B73">
              <w:t>°C</w:t>
            </w:r>
          </w:p>
          <w:p w:rsidR="00C018D5" w:rsidRDefault="00C018D5" w:rsidP="00C018D5">
            <w:pPr>
              <w:pStyle w:val="NoSpacing"/>
              <w:jc w:val="center"/>
            </w:pPr>
            <w:r>
              <w:t>1.75 at 25</w:t>
            </w:r>
            <w:r w:rsidR="00EB0B73" w:rsidRPr="00EB0B73">
              <w:t>°C</w:t>
            </w:r>
          </w:p>
          <w:p w:rsidR="00C018D5" w:rsidRDefault="00EB0B73" w:rsidP="00C018D5">
            <w:pPr>
              <w:pStyle w:val="NoSpacing"/>
              <w:jc w:val="center"/>
            </w:pPr>
            <w:r>
              <w:t>2.0 at 15</w:t>
            </w:r>
            <w:r w:rsidRPr="00EB0B73">
              <w:t>°C</w:t>
            </w:r>
          </w:p>
        </w:tc>
        <w:tc>
          <w:tcPr>
            <w:tcW w:w="1916" w:type="dxa"/>
          </w:tcPr>
          <w:p w:rsidR="00EB0B73" w:rsidRPr="00EB0B73" w:rsidRDefault="00EB0B73" w:rsidP="00EB0B73">
            <w:pPr>
              <w:pStyle w:val="NoSpacing"/>
              <w:jc w:val="center"/>
            </w:pPr>
            <w:r>
              <w:t>4.7 at 30</w:t>
            </w:r>
            <w:r w:rsidRPr="00EB0B73">
              <w:t>°C</w:t>
            </w:r>
          </w:p>
          <w:p w:rsidR="00EB0B73" w:rsidRPr="00EB0B73" w:rsidRDefault="00EB0B73" w:rsidP="00EB0B73">
            <w:pPr>
              <w:pStyle w:val="NoSpacing"/>
              <w:jc w:val="center"/>
            </w:pPr>
            <w:r>
              <w:t>5.8 at 25</w:t>
            </w:r>
            <w:r w:rsidRPr="00EB0B73">
              <w:t>°C</w:t>
            </w:r>
          </w:p>
          <w:p w:rsidR="00C018D5" w:rsidRDefault="00EB0B73" w:rsidP="00EB0B73">
            <w:pPr>
              <w:pStyle w:val="NoSpacing"/>
              <w:jc w:val="center"/>
            </w:pPr>
            <w:r>
              <w:t>8.3 at 15</w:t>
            </w:r>
            <w:r w:rsidRPr="00EB0B73">
              <w:t>°C</w:t>
            </w:r>
          </w:p>
        </w:tc>
      </w:tr>
      <w:tr w:rsidR="00C018D5" w:rsidTr="00C018D5">
        <w:tc>
          <w:tcPr>
            <w:tcW w:w="1915" w:type="dxa"/>
          </w:tcPr>
          <w:p w:rsidR="00C018D5" w:rsidRPr="00EB0B73" w:rsidRDefault="00EB0B73" w:rsidP="00C018D5">
            <w:pPr>
              <w:pStyle w:val="NoSpacing"/>
              <w:jc w:val="center"/>
              <w:rPr>
                <w:b/>
              </w:rPr>
            </w:pPr>
            <w:r w:rsidRPr="00EB0B73">
              <w:rPr>
                <w:b/>
              </w:rPr>
              <w:t>Specific Mass</w:t>
            </w:r>
          </w:p>
        </w:tc>
        <w:tc>
          <w:tcPr>
            <w:tcW w:w="1915" w:type="dxa"/>
          </w:tcPr>
          <w:p w:rsidR="00C018D5" w:rsidRPr="00EB0B73" w:rsidRDefault="00EB0B73" w:rsidP="00C018D5">
            <w:pPr>
              <w:pStyle w:val="NoSpacing"/>
              <w:jc w:val="center"/>
              <w:rPr>
                <w:vertAlign w:val="superscript"/>
              </w:rPr>
            </w:pPr>
            <w:r>
              <w:t>Kg/m</w:t>
            </w:r>
            <w:r>
              <w:rPr>
                <w:vertAlign w:val="superscript"/>
              </w:rPr>
              <w:t>3</w:t>
            </w:r>
          </w:p>
        </w:tc>
        <w:tc>
          <w:tcPr>
            <w:tcW w:w="1915" w:type="dxa"/>
          </w:tcPr>
          <w:p w:rsidR="00C018D5" w:rsidRDefault="00EB0B73" w:rsidP="00C018D5">
            <w:pPr>
              <w:pStyle w:val="NoSpacing"/>
              <w:jc w:val="center"/>
            </w:pPr>
            <w:r>
              <w:t>790</w:t>
            </w:r>
          </w:p>
        </w:tc>
        <w:tc>
          <w:tcPr>
            <w:tcW w:w="1915" w:type="dxa"/>
          </w:tcPr>
          <w:p w:rsidR="00C018D5" w:rsidRDefault="00EB0B73" w:rsidP="00C018D5">
            <w:pPr>
              <w:pStyle w:val="NoSpacing"/>
              <w:jc w:val="center"/>
            </w:pPr>
            <w:r>
              <w:t>1.027</w:t>
            </w:r>
          </w:p>
        </w:tc>
        <w:tc>
          <w:tcPr>
            <w:tcW w:w="1916" w:type="dxa"/>
          </w:tcPr>
          <w:p w:rsidR="00C018D5" w:rsidRDefault="00EB0B73" w:rsidP="00C018D5">
            <w:pPr>
              <w:pStyle w:val="NoSpacing"/>
              <w:jc w:val="center"/>
            </w:pPr>
            <w:r>
              <w:t>1.031</w:t>
            </w:r>
          </w:p>
        </w:tc>
      </w:tr>
      <w:tr w:rsidR="00EB0B73" w:rsidTr="00C018D5">
        <w:tc>
          <w:tcPr>
            <w:tcW w:w="1915" w:type="dxa"/>
          </w:tcPr>
          <w:p w:rsidR="00EB0B73" w:rsidRPr="00EB0B73" w:rsidRDefault="00EB0B73" w:rsidP="00C018D5">
            <w:pPr>
              <w:pStyle w:val="NoSpacing"/>
              <w:jc w:val="center"/>
              <w:rPr>
                <w:b/>
              </w:rPr>
            </w:pPr>
            <w:r w:rsidRPr="00EB0B73">
              <w:rPr>
                <w:b/>
              </w:rPr>
              <w:t>Heat of Evaporation</w:t>
            </w:r>
          </w:p>
        </w:tc>
        <w:tc>
          <w:tcPr>
            <w:tcW w:w="1915" w:type="dxa"/>
          </w:tcPr>
          <w:p w:rsidR="00EB0B73" w:rsidRPr="00EB0B73" w:rsidRDefault="00EB0B73" w:rsidP="00C018D5">
            <w:pPr>
              <w:pStyle w:val="NoSpacing"/>
              <w:jc w:val="center"/>
              <w:rPr>
                <w:vertAlign w:val="superscript"/>
              </w:rPr>
            </w:pPr>
            <w:r>
              <w:t>kJ/m</w:t>
            </w:r>
            <w:r>
              <w:rPr>
                <w:vertAlign w:val="superscript"/>
              </w:rPr>
              <w:t>3</w:t>
            </w:r>
          </w:p>
        </w:tc>
        <w:tc>
          <w:tcPr>
            <w:tcW w:w="1915" w:type="dxa"/>
          </w:tcPr>
          <w:p w:rsidR="00EB0B73" w:rsidRDefault="00EB0B73" w:rsidP="00C018D5">
            <w:pPr>
              <w:pStyle w:val="NoSpacing"/>
              <w:jc w:val="center"/>
            </w:pPr>
            <w:r>
              <w:t>1090</w:t>
            </w:r>
          </w:p>
        </w:tc>
        <w:tc>
          <w:tcPr>
            <w:tcW w:w="1915" w:type="dxa"/>
          </w:tcPr>
          <w:p w:rsidR="00EB0B73" w:rsidRDefault="00EB0B73" w:rsidP="00C018D5">
            <w:pPr>
              <w:pStyle w:val="NoSpacing"/>
              <w:jc w:val="center"/>
            </w:pPr>
            <w:r>
              <w:t>533</w:t>
            </w:r>
          </w:p>
        </w:tc>
        <w:tc>
          <w:tcPr>
            <w:tcW w:w="1916" w:type="dxa"/>
          </w:tcPr>
          <w:p w:rsidR="00EB0B73" w:rsidRDefault="00EB0B73" w:rsidP="00C018D5">
            <w:pPr>
              <w:pStyle w:val="NoSpacing"/>
              <w:jc w:val="center"/>
            </w:pPr>
          </w:p>
        </w:tc>
      </w:tr>
      <w:tr w:rsidR="00EB0B73" w:rsidTr="00C018D5">
        <w:tc>
          <w:tcPr>
            <w:tcW w:w="1915" w:type="dxa"/>
          </w:tcPr>
          <w:p w:rsidR="00EB0B73" w:rsidRPr="00EB0B73" w:rsidRDefault="00EB0B73" w:rsidP="00C018D5">
            <w:pPr>
              <w:pStyle w:val="NoSpacing"/>
              <w:jc w:val="center"/>
              <w:rPr>
                <w:b/>
              </w:rPr>
            </w:pPr>
            <w:r w:rsidRPr="00EB0B73">
              <w:rPr>
                <w:b/>
              </w:rPr>
              <w:t>Specific Heat at 25°C</w:t>
            </w:r>
          </w:p>
        </w:tc>
        <w:tc>
          <w:tcPr>
            <w:tcW w:w="1915" w:type="dxa"/>
          </w:tcPr>
          <w:p w:rsidR="00EB0B73" w:rsidRDefault="00EB0B73" w:rsidP="00C018D5">
            <w:pPr>
              <w:pStyle w:val="NoSpacing"/>
              <w:jc w:val="center"/>
            </w:pPr>
            <w:r>
              <w:t>kJ/</w:t>
            </w:r>
            <w:proofErr w:type="spellStart"/>
            <w:r>
              <w:t>kg.K</w:t>
            </w:r>
            <w:proofErr w:type="spellEnd"/>
          </w:p>
        </w:tc>
        <w:tc>
          <w:tcPr>
            <w:tcW w:w="1915" w:type="dxa"/>
          </w:tcPr>
          <w:p w:rsidR="00EB0B73" w:rsidRDefault="00EB0B73" w:rsidP="00C018D5">
            <w:pPr>
              <w:pStyle w:val="NoSpacing"/>
              <w:jc w:val="center"/>
            </w:pPr>
            <w:r>
              <w:t>0.6</w:t>
            </w:r>
          </w:p>
        </w:tc>
        <w:tc>
          <w:tcPr>
            <w:tcW w:w="1915" w:type="dxa"/>
          </w:tcPr>
          <w:p w:rsidR="00EB0B73" w:rsidRDefault="00EB0B73" w:rsidP="00C018D5">
            <w:pPr>
              <w:pStyle w:val="NoSpacing"/>
              <w:jc w:val="center"/>
            </w:pPr>
            <w:r>
              <w:t>0.52</w:t>
            </w:r>
          </w:p>
        </w:tc>
        <w:tc>
          <w:tcPr>
            <w:tcW w:w="1916" w:type="dxa"/>
          </w:tcPr>
          <w:p w:rsidR="00EB0B73" w:rsidRDefault="00EB0B73" w:rsidP="00C018D5">
            <w:pPr>
              <w:pStyle w:val="NoSpacing"/>
              <w:jc w:val="center"/>
            </w:pPr>
            <w:r>
              <w:t>0.49</w:t>
            </w:r>
          </w:p>
        </w:tc>
      </w:tr>
      <w:tr w:rsidR="00EB0B73" w:rsidTr="00C018D5">
        <w:tc>
          <w:tcPr>
            <w:tcW w:w="1915" w:type="dxa"/>
          </w:tcPr>
          <w:p w:rsidR="00EB0B73" w:rsidRPr="00EB0B73" w:rsidRDefault="00EB0B73" w:rsidP="00C018D5">
            <w:pPr>
              <w:pStyle w:val="NoSpacing"/>
              <w:jc w:val="center"/>
              <w:rPr>
                <w:b/>
              </w:rPr>
            </w:pPr>
            <w:r w:rsidRPr="00EB0B73">
              <w:rPr>
                <w:b/>
              </w:rPr>
              <w:t>Selectivity at working temperature</w:t>
            </w:r>
          </w:p>
        </w:tc>
        <w:tc>
          <w:tcPr>
            <w:tcW w:w="1915" w:type="dxa"/>
          </w:tcPr>
          <w:p w:rsidR="00EB0B73" w:rsidRPr="00EB0B73" w:rsidRDefault="00EB0B73" w:rsidP="00C018D5">
            <w:pPr>
              <w:pStyle w:val="NoSpacing"/>
              <w:jc w:val="center"/>
            </w:pPr>
            <w:r>
              <w:t>(H</w:t>
            </w:r>
            <w:r>
              <w:rPr>
                <w:vertAlign w:val="subscript"/>
              </w:rPr>
              <w:t>2</w:t>
            </w:r>
            <w:r>
              <w:t>S:CO</w:t>
            </w:r>
            <w:r>
              <w:softHyphen/>
            </w:r>
            <w:r>
              <w:rPr>
                <w:vertAlign w:val="subscript"/>
              </w:rPr>
              <w:t>2</w:t>
            </w:r>
            <w:r>
              <w:t>)</w:t>
            </w:r>
          </w:p>
        </w:tc>
        <w:tc>
          <w:tcPr>
            <w:tcW w:w="1915" w:type="dxa"/>
          </w:tcPr>
          <w:p w:rsidR="00EB0B73" w:rsidRDefault="00EB0B73" w:rsidP="00C018D5">
            <w:pPr>
              <w:pStyle w:val="NoSpacing"/>
              <w:jc w:val="center"/>
            </w:pPr>
            <w:r>
              <w:t>1:9.5</w:t>
            </w:r>
          </w:p>
        </w:tc>
        <w:tc>
          <w:tcPr>
            <w:tcW w:w="1915" w:type="dxa"/>
          </w:tcPr>
          <w:p w:rsidR="00EB0B73" w:rsidRDefault="00EB0B73" w:rsidP="00C018D5">
            <w:pPr>
              <w:pStyle w:val="NoSpacing"/>
              <w:jc w:val="center"/>
            </w:pPr>
            <w:r>
              <w:t>1:13</w:t>
            </w:r>
          </w:p>
        </w:tc>
        <w:tc>
          <w:tcPr>
            <w:tcW w:w="1916" w:type="dxa"/>
          </w:tcPr>
          <w:p w:rsidR="00EB0B73" w:rsidRDefault="00EB0B73" w:rsidP="00C018D5">
            <w:pPr>
              <w:pStyle w:val="NoSpacing"/>
              <w:jc w:val="center"/>
            </w:pPr>
            <w:r>
              <w:t>1:9</w:t>
            </w:r>
          </w:p>
        </w:tc>
      </w:tr>
    </w:tbl>
    <w:p w:rsidR="0079534A" w:rsidRDefault="00EB0B73" w:rsidP="00EB0B73">
      <w:pPr>
        <w:jc w:val="center"/>
        <w:rPr>
          <w:b/>
        </w:rPr>
      </w:pPr>
      <w:r>
        <w:rPr>
          <w:b/>
        </w:rPr>
        <w:t>Table 2: Properties of Physical Solvents (</w:t>
      </w:r>
      <w:proofErr w:type="spellStart"/>
      <w:r>
        <w:rPr>
          <w:b/>
        </w:rPr>
        <w:t>Higman</w:t>
      </w:r>
      <w:proofErr w:type="spellEnd"/>
      <w:r>
        <w:rPr>
          <w:b/>
        </w:rPr>
        <w:t>, page 304)</w:t>
      </w:r>
    </w:p>
    <w:p w:rsidR="00054FD7" w:rsidRDefault="00C649F9" w:rsidP="00C649F9">
      <w:r>
        <w:tab/>
        <w:t xml:space="preserve">In the case of our system we will most likely have to use a mixture of the two, which is appropriately named physical-chemical washes. Shell has produced a process using this method with a special chemical called </w:t>
      </w:r>
      <w:proofErr w:type="spellStart"/>
      <w:r>
        <w:t>Sulfinol</w:t>
      </w:r>
      <w:proofErr w:type="spellEnd"/>
      <w:r>
        <w:t xml:space="preserve"> (</w:t>
      </w:r>
      <w:proofErr w:type="spellStart"/>
      <w:r>
        <w:t>Higman</w:t>
      </w:r>
      <w:proofErr w:type="spellEnd"/>
      <w:r>
        <w:t xml:space="preserve">, page 307). The original </w:t>
      </w:r>
      <w:proofErr w:type="spellStart"/>
      <w:r>
        <w:t>Sulfinol</w:t>
      </w:r>
      <w:proofErr w:type="spellEnd"/>
      <w:r>
        <w:t xml:space="preserve"> mix consisted of DIPA (the chemical solvent) and </w:t>
      </w:r>
      <w:proofErr w:type="spellStart"/>
      <w:r>
        <w:t>Sulfolane</w:t>
      </w:r>
      <w:proofErr w:type="spellEnd"/>
      <w:r>
        <w:t xml:space="preserve"> (the ph</w:t>
      </w:r>
      <w:r w:rsidR="009716A7">
        <w:t>ysical solvent). There is also</w:t>
      </w:r>
      <w:r>
        <w:t xml:space="preserve"> m-</w:t>
      </w:r>
      <w:proofErr w:type="spellStart"/>
      <w:r>
        <w:t>Sulfinol</w:t>
      </w:r>
      <w:proofErr w:type="spellEnd"/>
      <w:r>
        <w:t xml:space="preserve"> </w:t>
      </w:r>
      <w:r w:rsidR="009716A7">
        <w:t>solvent that uses</w:t>
      </w:r>
      <w:r>
        <w:t xml:space="preserve"> MDEA as its chemical component (</w:t>
      </w:r>
      <w:proofErr w:type="spellStart"/>
      <w:r>
        <w:t>Higman</w:t>
      </w:r>
      <w:proofErr w:type="spellEnd"/>
      <w:r>
        <w:t xml:space="preserve">, page 307). </w:t>
      </w:r>
      <w:r w:rsidR="002B6DBB">
        <w:t>M-</w:t>
      </w:r>
      <w:proofErr w:type="spellStart"/>
      <w:r w:rsidR="002B6DBB">
        <w:t>Sulfinol</w:t>
      </w:r>
      <w:proofErr w:type="spellEnd"/>
      <w:r w:rsidR="002B6DBB">
        <w:t xml:space="preserve"> is used for larger scale processes such as our own. </w:t>
      </w:r>
    </w:p>
    <w:p w:rsidR="002B6DBB" w:rsidRDefault="002B6DBB" w:rsidP="00C649F9">
      <w:r>
        <w:tab/>
        <w:t xml:space="preserve">Oxidative washes (aka liquid </w:t>
      </w:r>
      <w:proofErr w:type="spellStart"/>
      <w:r>
        <w:t>redox</w:t>
      </w:r>
      <w:proofErr w:type="spellEnd"/>
      <w:r>
        <w:t>) are an alternative to the Claus plant to remove the H</w:t>
      </w:r>
      <w:r>
        <w:rPr>
          <w:vertAlign w:val="subscript"/>
        </w:rPr>
        <w:t>2</w:t>
      </w:r>
      <w:r>
        <w:t>S into elemental sul</w:t>
      </w:r>
      <w:r w:rsidR="0023413A">
        <w:t>fur. However this process will only convert the H</w:t>
      </w:r>
      <w:r w:rsidR="0023413A">
        <w:rPr>
          <w:vertAlign w:val="subscript"/>
        </w:rPr>
        <w:t>2</w:t>
      </w:r>
      <w:r w:rsidR="0023413A">
        <w:t>S so therefore the COS must be converted upstream to H</w:t>
      </w:r>
      <w:r w:rsidR="0023413A">
        <w:rPr>
          <w:vertAlign w:val="subscript"/>
        </w:rPr>
        <w:t>2</w:t>
      </w:r>
      <w:r w:rsidR="0023413A">
        <w:t xml:space="preserve">S to obtain a better purity in the end. </w:t>
      </w:r>
      <w:r w:rsidR="00B670C1">
        <w:t xml:space="preserve">Below is the figure from form Gasification on page 308 which shows a basic process flow of the Lo-Cat process that converts the acid gas into elemental sulfur be being absorbed on aqueous </w:t>
      </w:r>
      <w:proofErr w:type="spellStart"/>
      <w:r w:rsidR="00B670C1">
        <w:t>chelated</w:t>
      </w:r>
      <w:proofErr w:type="spellEnd"/>
      <w:r w:rsidR="00CC03DA">
        <w:t xml:space="preserve"> iron. The ferric iron oxidizes the HS</w:t>
      </w:r>
      <w:r w:rsidR="00CC03DA">
        <w:rPr>
          <w:vertAlign w:val="superscript"/>
        </w:rPr>
        <w:t>-</w:t>
      </w:r>
      <w:r w:rsidR="00CC03DA">
        <w:t xml:space="preserve"> ion to elemental sulfur. Further on down the process path a bed of zinc oxide and also copper oxide can be used to ensure the remaining gas is as sulfur free as possible. </w:t>
      </w:r>
    </w:p>
    <w:p w:rsidR="00CA5E11" w:rsidRPr="00166F65" w:rsidRDefault="00CA5E11" w:rsidP="00C649F9">
      <w:r>
        <w:tab/>
      </w:r>
    </w:p>
    <w:p w:rsidR="003C6116" w:rsidRDefault="003C6116" w:rsidP="003C6116">
      <w:pPr>
        <w:jc w:val="center"/>
      </w:pPr>
      <w:r>
        <w:rPr>
          <w:noProof/>
        </w:rPr>
        <w:lastRenderedPageBreak/>
        <w:drawing>
          <wp:inline distT="0" distB="0" distL="0" distR="0">
            <wp:extent cx="5057775" cy="24860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57775" cy="2486025"/>
                    </a:xfrm>
                    <a:prstGeom prst="rect">
                      <a:avLst/>
                    </a:prstGeom>
                    <a:noFill/>
                    <a:ln w="9525">
                      <a:noFill/>
                      <a:miter lim="800000"/>
                      <a:headEnd/>
                      <a:tailEnd/>
                    </a:ln>
                  </pic:spPr>
                </pic:pic>
              </a:graphicData>
            </a:graphic>
          </wp:inline>
        </w:drawing>
      </w:r>
    </w:p>
    <w:p w:rsidR="00690F28" w:rsidRPr="0023413A" w:rsidRDefault="00690F28" w:rsidP="003C6116">
      <w:pPr>
        <w:jc w:val="center"/>
      </w:pPr>
      <w:r>
        <w:t xml:space="preserve">Figure 1: </w:t>
      </w:r>
      <w:r w:rsidR="00E554C1">
        <w:t xml:space="preserve">Lo-Cat </w:t>
      </w:r>
      <w:proofErr w:type="spellStart"/>
      <w:r w:rsidR="00E554C1">
        <w:t>Flowsheet</w:t>
      </w:r>
      <w:proofErr w:type="spellEnd"/>
      <w:r w:rsidR="00E554C1">
        <w:t xml:space="preserve"> (</w:t>
      </w:r>
      <w:proofErr w:type="spellStart"/>
      <w:r w:rsidR="00E554C1">
        <w:t>Higman</w:t>
      </w:r>
      <w:proofErr w:type="spellEnd"/>
      <w:r w:rsidR="00E554C1">
        <w:t>, page 308)</w:t>
      </w:r>
    </w:p>
    <w:p w:rsidR="00690F28" w:rsidRDefault="006914CE" w:rsidP="00690F28">
      <w:r>
        <w:tab/>
      </w:r>
      <w:r w:rsidR="00690F28" w:rsidRPr="00690F28">
        <w:t xml:space="preserve">The Claus process is another method in removing the sulfur content from the </w:t>
      </w:r>
      <w:proofErr w:type="spellStart"/>
      <w:r w:rsidR="00690F28" w:rsidRPr="00690F28">
        <w:t>syngas</w:t>
      </w:r>
      <w:proofErr w:type="spellEnd"/>
      <w:r w:rsidR="00690F28" w:rsidRPr="00690F28">
        <w:t>. The H</w:t>
      </w:r>
      <w:r w:rsidR="00690F28" w:rsidRPr="00690F28">
        <w:rPr>
          <w:vertAlign w:val="subscript"/>
        </w:rPr>
        <w:t>2</w:t>
      </w:r>
      <w:r w:rsidR="00690F28" w:rsidRPr="00690F28">
        <w:t>S is combusted with SO</w:t>
      </w:r>
      <w:r w:rsidR="00690F28" w:rsidRPr="00690F28">
        <w:softHyphen/>
      </w:r>
      <w:r w:rsidR="00690F28" w:rsidRPr="00690F28">
        <w:rPr>
          <w:vertAlign w:val="subscript"/>
        </w:rPr>
        <w:t xml:space="preserve">2 </w:t>
      </w:r>
      <w:r w:rsidR="00690F28" w:rsidRPr="00690F28">
        <w:t>and water in the first stage at 1000-1200°C (1832-2192°F) where then the in the low-temperature second stage the SO</w:t>
      </w:r>
      <w:r w:rsidR="00690F28" w:rsidRPr="00690F28">
        <w:rPr>
          <w:vertAlign w:val="subscript"/>
        </w:rPr>
        <w:t xml:space="preserve">2 </w:t>
      </w:r>
      <w:r w:rsidR="00690F28" w:rsidRPr="00690F28">
        <w:t>is reacted with the remaining H</w:t>
      </w:r>
      <w:r w:rsidR="00690F28" w:rsidRPr="00690F28">
        <w:rPr>
          <w:vertAlign w:val="subscript"/>
        </w:rPr>
        <w:t>2</w:t>
      </w:r>
      <w:r w:rsidR="00690F28" w:rsidRPr="00690F28">
        <w:t>S to form sulfur (</w:t>
      </w:r>
      <w:proofErr w:type="spellStart"/>
      <w:r w:rsidR="00690F28" w:rsidRPr="00690F28">
        <w:t>Higman</w:t>
      </w:r>
      <w:proofErr w:type="spellEnd"/>
      <w:r w:rsidR="00690F28" w:rsidRPr="00690F28">
        <w:t>, page 319-320).</w:t>
      </w:r>
    </w:p>
    <w:p w:rsidR="00690F28" w:rsidRDefault="00690F28" w:rsidP="00E554C1">
      <w:pPr>
        <w:jc w:val="center"/>
      </w:pPr>
      <w:r>
        <w:rPr>
          <w:noProof/>
        </w:rPr>
        <w:drawing>
          <wp:inline distT="0" distB="0" distL="0" distR="0">
            <wp:extent cx="4572000" cy="2943384"/>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572000" cy="2943384"/>
                    </a:xfrm>
                    <a:prstGeom prst="rect">
                      <a:avLst/>
                    </a:prstGeom>
                    <a:noFill/>
                    <a:ln w="9525">
                      <a:noFill/>
                      <a:miter lim="800000"/>
                      <a:headEnd/>
                      <a:tailEnd/>
                    </a:ln>
                  </pic:spPr>
                </pic:pic>
              </a:graphicData>
            </a:graphic>
          </wp:inline>
        </w:drawing>
      </w:r>
    </w:p>
    <w:p w:rsidR="00E554C1" w:rsidRDefault="00E554C1" w:rsidP="00E554C1">
      <w:pPr>
        <w:jc w:val="center"/>
      </w:pPr>
      <w:r>
        <w:t>Figure 2: Claus Unit (</w:t>
      </w:r>
      <w:proofErr w:type="spellStart"/>
      <w:r>
        <w:t>Higman</w:t>
      </w:r>
      <w:proofErr w:type="spellEnd"/>
      <w:r>
        <w:t>, page 319)</w:t>
      </w:r>
    </w:p>
    <w:p w:rsidR="00E554C1" w:rsidRPr="00690F28" w:rsidRDefault="00AB4B5C" w:rsidP="00E554C1">
      <w:r>
        <w:lastRenderedPageBreak/>
        <w:t xml:space="preserve">In the second stage the </w:t>
      </w:r>
      <w:r w:rsidR="00704DE2">
        <w:t>gas is passed over and alumina catalyst at around 200-300</w:t>
      </w:r>
      <w:r w:rsidR="00704DE2">
        <w:rPr>
          <w:rFonts w:ascii="Calibri" w:hAnsi="Calibri"/>
        </w:rPr>
        <w:t>°</w:t>
      </w:r>
      <w:r w:rsidR="00704DE2">
        <w:t>C (392-572</w:t>
      </w:r>
      <w:r w:rsidR="00704DE2">
        <w:rPr>
          <w:rFonts w:ascii="Calibri" w:hAnsi="Calibri"/>
        </w:rPr>
        <w:t>°</w:t>
      </w:r>
      <w:r w:rsidR="00704DE2">
        <w:t>F) where is then sent to a cooler to condense the sulfur formed (</w:t>
      </w:r>
      <w:proofErr w:type="spellStart"/>
      <w:r w:rsidR="00704DE2">
        <w:t>Higman</w:t>
      </w:r>
      <w:proofErr w:type="spellEnd"/>
      <w:r w:rsidR="00704DE2">
        <w:t xml:space="preserve">, page 319). This usually is performed two to three times, and in the case of our process it is most likely that we will perform this three times to ensure the most sulfur can be removed. </w:t>
      </w:r>
    </w:p>
    <w:p w:rsidR="00AE5416" w:rsidRDefault="00AE5416" w:rsidP="00C649F9"/>
    <w:p w:rsidR="008353C5" w:rsidRDefault="008353C5" w:rsidP="008353C5">
      <w:pPr>
        <w:jc w:val="center"/>
      </w:pPr>
    </w:p>
    <w:p w:rsidR="008353C5" w:rsidRPr="00CA2CD3" w:rsidRDefault="008353C5" w:rsidP="008353C5">
      <w:pPr>
        <w:jc w:val="center"/>
      </w:pPr>
    </w:p>
    <w:sectPr w:rsidR="008353C5" w:rsidRPr="00CA2CD3" w:rsidSect="00741A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1384"/>
    <w:rsid w:val="00054FD7"/>
    <w:rsid w:val="001379DC"/>
    <w:rsid w:val="00166F65"/>
    <w:rsid w:val="0023413A"/>
    <w:rsid w:val="00297B16"/>
    <w:rsid w:val="002B5993"/>
    <w:rsid w:val="002B6DBB"/>
    <w:rsid w:val="003C6116"/>
    <w:rsid w:val="00432CDB"/>
    <w:rsid w:val="004822A5"/>
    <w:rsid w:val="00561384"/>
    <w:rsid w:val="00654BDE"/>
    <w:rsid w:val="00690F28"/>
    <w:rsid w:val="006914CE"/>
    <w:rsid w:val="006B4587"/>
    <w:rsid w:val="006C7719"/>
    <w:rsid w:val="00704DE2"/>
    <w:rsid w:val="00741A5D"/>
    <w:rsid w:val="00753D8D"/>
    <w:rsid w:val="0079534A"/>
    <w:rsid w:val="008141DC"/>
    <w:rsid w:val="008353C5"/>
    <w:rsid w:val="008D41E8"/>
    <w:rsid w:val="009716A7"/>
    <w:rsid w:val="00AB4B5C"/>
    <w:rsid w:val="00AE5416"/>
    <w:rsid w:val="00B404AA"/>
    <w:rsid w:val="00B4053A"/>
    <w:rsid w:val="00B670C1"/>
    <w:rsid w:val="00C018D5"/>
    <w:rsid w:val="00C470A0"/>
    <w:rsid w:val="00C649F9"/>
    <w:rsid w:val="00CA2CD3"/>
    <w:rsid w:val="00CA5E11"/>
    <w:rsid w:val="00CC03DA"/>
    <w:rsid w:val="00D5297E"/>
    <w:rsid w:val="00E554C1"/>
    <w:rsid w:val="00EB0B73"/>
    <w:rsid w:val="00EE01E2"/>
    <w:rsid w:val="00FF2F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B16"/>
    <w:pPr>
      <w:spacing w:line="48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54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416"/>
    <w:rPr>
      <w:rFonts w:ascii="Tahoma" w:hAnsi="Tahoma" w:cs="Tahoma"/>
      <w:sz w:val="16"/>
      <w:szCs w:val="16"/>
    </w:rPr>
  </w:style>
  <w:style w:type="paragraph" w:styleId="NoSpacing">
    <w:name w:val="No Spacing"/>
    <w:uiPriority w:val="1"/>
    <w:qFormat/>
    <w:rsid w:val="006B4587"/>
    <w:pPr>
      <w:spacing w:after="0" w:line="240" w:lineRule="auto"/>
    </w:pPr>
    <w:rPr>
      <w:rFonts w:ascii="Times New Roman" w:hAnsi="Times New Roman"/>
      <w:sz w:val="24"/>
    </w:rPr>
  </w:style>
  <w:style w:type="table" w:styleId="TableGrid">
    <w:name w:val="Table Grid"/>
    <w:basedOn w:val="TableNormal"/>
    <w:uiPriority w:val="59"/>
    <w:rsid w:val="00EE01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018D5"/>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SDS07</b:Tag>
    <b:SourceType>JournalArticle</b:SourceType>
    <b:Guid>{5F6FE470-3AB8-4F70-9A23-FE75B3FC3120}</b:Guid>
    <b:LCID>0</b:LCID>
    <b:Author>
      <b:Author>
        <b:NameList>
          <b:Person>
            <b:Last>Sharma</b:Last>
            <b:First>S.D.</b:First>
          </b:Person>
          <b:Person>
            <b:Last>Dolan</b:Last>
            <b:First>M.</b:First>
          </b:Person>
          <b:Person>
            <b:Last>Park</b:Last>
            <b:First>D.</b:First>
          </b:Person>
          <b:Person>
            <b:Last>Morpeth</b:Last>
            <b:First>L.</b:First>
          </b:Person>
          <b:Person>
            <b:Last>Ilyushechkin</b:Last>
            <b:First>A.</b:First>
          </b:Person>
          <b:Person>
            <b:Last>McLennan</b:Last>
            <b:First>K.</b:First>
          </b:Person>
          <b:Person>
            <b:Last>Harris</b:Last>
            <b:First>D.J.</b:First>
          </b:Person>
          <b:Person>
            <b:Last>Thambimuthu</b:Last>
            <b:First>K.V.</b:First>
          </b:Person>
        </b:NameList>
      </b:Author>
    </b:Author>
    <b:Title>A critical review of syngas cleaning technologies — fundamental limitations and practical problems</b:Title>
    <b:Year>2007</b:Year>
    <b:JournalName>Powder Technology</b:JournalName>
    <b:Pages>115-121</b:Pages>
    <b:RefOrder>1</b:RefOrder>
  </b:Source>
</b:Sources>
</file>

<file path=customXml/itemProps1.xml><?xml version="1.0" encoding="utf-8"?>
<ds:datastoreItem xmlns:ds="http://schemas.openxmlformats.org/officeDocument/2006/customXml" ds:itemID="{5F8BFE5D-2D53-4B34-B63F-0B56845A7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1450</TotalTime>
  <Pages>5</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Kosak</dc:creator>
  <cp:lastModifiedBy>Ryan Kosak</cp:lastModifiedBy>
  <cp:revision>11</cp:revision>
  <dcterms:created xsi:type="dcterms:W3CDTF">2011-02-05T20:04:00Z</dcterms:created>
  <dcterms:modified xsi:type="dcterms:W3CDTF">2011-02-06T20:14:00Z</dcterms:modified>
</cp:coreProperties>
</file>